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C375" w14:textId="77777777" w:rsidR="00764697" w:rsidRPr="00764697" w:rsidRDefault="00764697" w:rsidP="005217A0">
      <w:pPr>
        <w:rPr>
          <w:rFonts w:ascii="Times New Roman" w:hAnsi="Times New Roman" w:cs="Times New Roman"/>
          <w:sz w:val="24"/>
          <w:szCs w:val="24"/>
        </w:rPr>
      </w:pPr>
    </w:p>
    <w:p w14:paraId="780BD448" w14:textId="77777777" w:rsidR="000B4C17" w:rsidRDefault="000B4C17" w:rsidP="000B4C17">
      <w:pPr>
        <w:pStyle w:val="Default"/>
        <w:rPr>
          <w:sz w:val="23"/>
          <w:szCs w:val="23"/>
        </w:rPr>
      </w:pPr>
      <w:r>
        <w:rPr>
          <w:b/>
          <w:bCs/>
          <w:sz w:val="23"/>
          <w:szCs w:val="23"/>
        </w:rPr>
        <w:t xml:space="preserve">10. COMMITTEE MEETINGS BEFORE PROPOSING DISTRICT PLANS: </w:t>
      </w:r>
    </w:p>
    <w:p w14:paraId="78DBC48A" w14:textId="77777777" w:rsidR="000B4C17" w:rsidRDefault="000B4C17" w:rsidP="000B4C17">
      <w:pPr>
        <w:pStyle w:val="Default"/>
        <w:rPr>
          <w:sz w:val="23"/>
          <w:szCs w:val="23"/>
        </w:rPr>
      </w:pPr>
      <w:r>
        <w:rPr>
          <w:b/>
          <w:bCs/>
          <w:sz w:val="23"/>
          <w:szCs w:val="23"/>
        </w:rPr>
        <w:t xml:space="preserve">A. </w:t>
      </w:r>
      <w:r>
        <w:rPr>
          <w:sz w:val="23"/>
          <w:szCs w:val="23"/>
        </w:rPr>
        <w:t xml:space="preserve">Before proposing district plans for public comment, the committee shall hold no fewer than six public meetings that allow for virtual participation. The committee shall hold and conduct these meetings: </w:t>
      </w:r>
    </w:p>
    <w:p w14:paraId="2179F8B5" w14:textId="47DC31E3" w:rsidR="000B4C17" w:rsidRDefault="000B4C17" w:rsidP="000B4C17">
      <w:pPr>
        <w:pStyle w:val="Default"/>
        <w:rPr>
          <w:sz w:val="22"/>
          <w:szCs w:val="22"/>
        </w:rPr>
      </w:pPr>
      <w:r>
        <w:rPr>
          <w:b/>
          <w:bCs/>
          <w:sz w:val="23"/>
          <w:szCs w:val="23"/>
        </w:rPr>
        <w:t xml:space="preserve">(1) </w:t>
      </w:r>
      <w:r>
        <w:rPr>
          <w:sz w:val="23"/>
          <w:szCs w:val="23"/>
        </w:rPr>
        <w:t xml:space="preserve">after having provided the public with notice at least thirty days before each meeting; provided that, all public notices shall include information about how the public may participate and submit testimony, documents and information; and </w:t>
      </w:r>
    </w:p>
    <w:p w14:paraId="5F47005C" w14:textId="77777777" w:rsidR="000B4C17" w:rsidRDefault="000B4C17" w:rsidP="000B4C17">
      <w:pPr>
        <w:pStyle w:val="Default"/>
        <w:rPr>
          <w:sz w:val="23"/>
          <w:szCs w:val="23"/>
        </w:rPr>
      </w:pPr>
      <w:r>
        <w:rPr>
          <w:b/>
          <w:bCs/>
          <w:sz w:val="23"/>
          <w:szCs w:val="23"/>
        </w:rPr>
        <w:t xml:space="preserve">(2) </w:t>
      </w:r>
      <w:r>
        <w:rPr>
          <w:sz w:val="23"/>
          <w:szCs w:val="23"/>
        </w:rPr>
        <w:t xml:space="preserve">in-person; provided that: </w:t>
      </w:r>
    </w:p>
    <w:p w14:paraId="41E5A3A3" w14:textId="77777777" w:rsidR="000B4C17" w:rsidRDefault="000B4C17" w:rsidP="000B4C17">
      <w:pPr>
        <w:pStyle w:val="Default"/>
        <w:rPr>
          <w:sz w:val="23"/>
          <w:szCs w:val="23"/>
        </w:rPr>
      </w:pPr>
      <w:r>
        <w:rPr>
          <w:b/>
          <w:bCs/>
          <w:sz w:val="23"/>
          <w:szCs w:val="23"/>
        </w:rPr>
        <w:t xml:space="preserve">(a) </w:t>
      </w:r>
      <w:r>
        <w:rPr>
          <w:sz w:val="23"/>
          <w:szCs w:val="23"/>
        </w:rPr>
        <w:t xml:space="preserve">all meetings shall allow for virtual participation; and </w:t>
      </w:r>
    </w:p>
    <w:p w14:paraId="21C3725E" w14:textId="77777777" w:rsidR="000B4C17" w:rsidRDefault="000B4C17" w:rsidP="000B4C17">
      <w:pPr>
        <w:pStyle w:val="Default"/>
        <w:rPr>
          <w:sz w:val="23"/>
          <w:szCs w:val="23"/>
        </w:rPr>
      </w:pPr>
      <w:r>
        <w:rPr>
          <w:b/>
          <w:bCs/>
          <w:sz w:val="23"/>
          <w:szCs w:val="23"/>
        </w:rPr>
        <w:t xml:space="preserve">(b) </w:t>
      </w:r>
      <w:r>
        <w:rPr>
          <w:sz w:val="23"/>
          <w:szCs w:val="23"/>
        </w:rPr>
        <w:t xml:space="preserve">the committee shall not meet in person if any such meeting would violate a public health order issued by the department of health or another relevant government entity; </w:t>
      </w:r>
    </w:p>
    <w:p w14:paraId="620744EE" w14:textId="77777777" w:rsidR="000B4C17" w:rsidRDefault="000B4C17" w:rsidP="000B4C17">
      <w:pPr>
        <w:pStyle w:val="Default"/>
        <w:rPr>
          <w:sz w:val="23"/>
          <w:szCs w:val="23"/>
        </w:rPr>
      </w:pPr>
      <w:r>
        <w:rPr>
          <w:b/>
          <w:bCs/>
          <w:sz w:val="23"/>
          <w:szCs w:val="23"/>
        </w:rPr>
        <w:t xml:space="preserve">(3) </w:t>
      </w:r>
      <w:r>
        <w:rPr>
          <w:sz w:val="23"/>
          <w:szCs w:val="23"/>
        </w:rPr>
        <w:t xml:space="preserve">in each of the four geographic quadrants of the state with one meeting on tribal land, subject to the agreement of the respective Indian nation, tribe or pueblo; and </w:t>
      </w:r>
    </w:p>
    <w:p w14:paraId="4BEC54EC" w14:textId="77777777" w:rsidR="000B4C17" w:rsidRDefault="000B4C17" w:rsidP="000B4C17">
      <w:pPr>
        <w:pStyle w:val="Default"/>
        <w:rPr>
          <w:sz w:val="23"/>
          <w:szCs w:val="23"/>
        </w:rPr>
      </w:pPr>
      <w:r>
        <w:rPr>
          <w:b/>
          <w:bCs/>
          <w:sz w:val="23"/>
          <w:szCs w:val="23"/>
        </w:rPr>
        <w:t xml:space="preserve">(4) </w:t>
      </w:r>
      <w:r>
        <w:rPr>
          <w:sz w:val="23"/>
          <w:szCs w:val="23"/>
        </w:rPr>
        <w:t xml:space="preserve">pursuant to the requirements of the Open Meetings Act, Sections 10-15-1 through 10-15-4, NMSA 1978. </w:t>
      </w:r>
    </w:p>
    <w:p w14:paraId="4482C23E" w14:textId="77777777" w:rsidR="000B4C17" w:rsidRDefault="000B4C17" w:rsidP="000B4C17">
      <w:pPr>
        <w:pStyle w:val="Default"/>
        <w:rPr>
          <w:sz w:val="23"/>
          <w:szCs w:val="23"/>
        </w:rPr>
      </w:pPr>
      <w:r>
        <w:rPr>
          <w:b/>
          <w:bCs/>
          <w:sz w:val="23"/>
          <w:szCs w:val="23"/>
        </w:rPr>
        <w:t xml:space="preserve">B. </w:t>
      </w:r>
      <w:r>
        <w:rPr>
          <w:sz w:val="23"/>
          <w:szCs w:val="23"/>
        </w:rPr>
        <w:t xml:space="preserve">At its meetings before proposing district plans, the committee may receive from any person testimony, as well as maps of communities of interest, maps of one or more single districts, and maps of statewide district plans, provided that: </w:t>
      </w:r>
    </w:p>
    <w:p w14:paraId="67629C90" w14:textId="77777777" w:rsidR="000B4C17" w:rsidRDefault="000B4C17" w:rsidP="000B4C17">
      <w:pPr>
        <w:pStyle w:val="Default"/>
        <w:rPr>
          <w:sz w:val="23"/>
          <w:szCs w:val="23"/>
        </w:rPr>
      </w:pPr>
      <w:r>
        <w:rPr>
          <w:b/>
          <w:bCs/>
          <w:sz w:val="23"/>
          <w:szCs w:val="23"/>
        </w:rPr>
        <w:t xml:space="preserve">(1) </w:t>
      </w:r>
      <w:r>
        <w:rPr>
          <w:sz w:val="23"/>
          <w:szCs w:val="23"/>
        </w:rPr>
        <w:t xml:space="preserve">before the first meeting for the receipt of public testimony and maps, the committee has established an online portal for the public’s submission and the committee’s receipt of testimony, maps of communities of interest, single districts, and statewide district plans; </w:t>
      </w:r>
    </w:p>
    <w:p w14:paraId="4D1D2A8F" w14:textId="77777777" w:rsidR="000B4C17" w:rsidRDefault="000B4C17" w:rsidP="000B4C17">
      <w:pPr>
        <w:pStyle w:val="Default"/>
        <w:rPr>
          <w:sz w:val="23"/>
          <w:szCs w:val="23"/>
        </w:rPr>
      </w:pPr>
      <w:r>
        <w:rPr>
          <w:b/>
          <w:bCs/>
          <w:sz w:val="23"/>
          <w:szCs w:val="23"/>
        </w:rPr>
        <w:t xml:space="preserve">(2) </w:t>
      </w:r>
      <w:r>
        <w:rPr>
          <w:sz w:val="23"/>
          <w:szCs w:val="23"/>
        </w:rPr>
        <w:t xml:space="preserve">any person attending a public meeting and providing a map of either communities of interest, one or more single districts, or statewide district plans must submit the maps through the committee’s online portal or by sending either a hand-drawn map or, preferably, a map in a common format, such as a shapefile, to the committee via electronic mail at crc@state.nm.us, U.S. mail, or hand delivery; </w:t>
      </w:r>
    </w:p>
    <w:p w14:paraId="72F69F84" w14:textId="77777777" w:rsidR="000B4C17" w:rsidRDefault="000B4C17" w:rsidP="000B4C17">
      <w:pPr>
        <w:pStyle w:val="Default"/>
        <w:rPr>
          <w:sz w:val="23"/>
          <w:szCs w:val="23"/>
        </w:rPr>
      </w:pPr>
      <w:r>
        <w:rPr>
          <w:b/>
          <w:bCs/>
          <w:sz w:val="23"/>
          <w:szCs w:val="23"/>
        </w:rPr>
        <w:t xml:space="preserve">(3) </w:t>
      </w:r>
      <w:r>
        <w:rPr>
          <w:sz w:val="23"/>
          <w:szCs w:val="23"/>
        </w:rPr>
        <w:t xml:space="preserve">the committee shall not consider: </w:t>
      </w:r>
    </w:p>
    <w:p w14:paraId="7A52768C" w14:textId="77777777" w:rsidR="000B4C17" w:rsidRDefault="000B4C17" w:rsidP="000B4C17">
      <w:pPr>
        <w:pStyle w:val="Default"/>
        <w:rPr>
          <w:sz w:val="23"/>
          <w:szCs w:val="23"/>
        </w:rPr>
      </w:pPr>
      <w:r>
        <w:rPr>
          <w:b/>
          <w:bCs/>
          <w:sz w:val="23"/>
          <w:szCs w:val="23"/>
        </w:rPr>
        <w:t xml:space="preserve">(a) </w:t>
      </w:r>
      <w:r>
        <w:rPr>
          <w:sz w:val="23"/>
          <w:szCs w:val="23"/>
        </w:rPr>
        <w:t xml:space="preserve">any testimony referencing partisan data, such as voting history in partisan-contested elections or party registration data; or </w:t>
      </w:r>
    </w:p>
    <w:p w14:paraId="489AD2C4" w14:textId="77777777" w:rsidR="000B4C17" w:rsidRDefault="000B4C17" w:rsidP="000B4C17">
      <w:pPr>
        <w:pStyle w:val="Default"/>
        <w:rPr>
          <w:sz w:val="23"/>
          <w:szCs w:val="23"/>
        </w:rPr>
      </w:pPr>
      <w:r>
        <w:rPr>
          <w:b/>
          <w:bCs/>
          <w:sz w:val="23"/>
          <w:szCs w:val="23"/>
        </w:rPr>
        <w:t xml:space="preserve">(b) </w:t>
      </w:r>
      <w:r>
        <w:rPr>
          <w:sz w:val="23"/>
          <w:szCs w:val="23"/>
        </w:rPr>
        <w:t xml:space="preserve">any complete district plan for the New Mexico House of Representatives, the New Mexico Senate, or the Public Education Commission that has a total deviation in population among districts of more than ten percent, or complete district plan for New Mexico’s congressional districts with more than zero deviation unless that deviation is justified by legitimate state objectives. </w:t>
      </w:r>
    </w:p>
    <w:sectPr w:rsidR="000B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BB"/>
    <w:rsid w:val="000B4C17"/>
    <w:rsid w:val="00344484"/>
    <w:rsid w:val="003B09AB"/>
    <w:rsid w:val="005025D4"/>
    <w:rsid w:val="005217A0"/>
    <w:rsid w:val="00667B7E"/>
    <w:rsid w:val="00764697"/>
    <w:rsid w:val="00B623BB"/>
    <w:rsid w:val="00B73496"/>
    <w:rsid w:val="00C1303D"/>
    <w:rsid w:val="00E94093"/>
    <w:rsid w:val="00EE2BE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40FA"/>
  <w15:chartTrackingRefBased/>
  <w15:docId w15:val="{F2489F12-ABE5-42DC-ACE8-9133CA7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C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5338">
      <w:bodyDiv w:val="1"/>
      <w:marLeft w:val="0"/>
      <w:marRight w:val="0"/>
      <w:marTop w:val="0"/>
      <w:marBottom w:val="0"/>
      <w:divBdr>
        <w:top w:val="none" w:sz="0" w:space="0" w:color="auto"/>
        <w:left w:val="none" w:sz="0" w:space="0" w:color="auto"/>
        <w:bottom w:val="none" w:sz="0" w:space="0" w:color="auto"/>
        <w:right w:val="none" w:sz="0" w:space="0" w:color="auto"/>
      </w:divBdr>
      <w:divsChild>
        <w:div w:id="987704620">
          <w:marLeft w:val="0"/>
          <w:marRight w:val="0"/>
          <w:marTop w:val="0"/>
          <w:marBottom w:val="0"/>
          <w:divBdr>
            <w:top w:val="none" w:sz="0" w:space="0" w:color="auto"/>
            <w:left w:val="none" w:sz="0" w:space="0" w:color="auto"/>
            <w:bottom w:val="none" w:sz="0" w:space="0" w:color="auto"/>
            <w:right w:val="none" w:sz="0" w:space="0" w:color="auto"/>
          </w:divBdr>
          <w:divsChild>
            <w:div w:id="1143037694">
              <w:marLeft w:val="0"/>
              <w:marRight w:val="0"/>
              <w:marTop w:val="0"/>
              <w:marBottom w:val="0"/>
              <w:divBdr>
                <w:top w:val="none" w:sz="0" w:space="0" w:color="auto"/>
                <w:left w:val="none" w:sz="0" w:space="0" w:color="auto"/>
                <w:bottom w:val="none" w:sz="0" w:space="0" w:color="auto"/>
                <w:right w:val="none" w:sz="0" w:space="0" w:color="auto"/>
              </w:divBdr>
            </w:div>
            <w:div w:id="1559899911">
              <w:marLeft w:val="0"/>
              <w:marRight w:val="0"/>
              <w:marTop w:val="0"/>
              <w:marBottom w:val="0"/>
              <w:divBdr>
                <w:top w:val="none" w:sz="0" w:space="0" w:color="auto"/>
                <w:left w:val="none" w:sz="0" w:space="0" w:color="auto"/>
                <w:bottom w:val="none" w:sz="0" w:space="0" w:color="auto"/>
                <w:right w:val="none" w:sz="0" w:space="0" w:color="auto"/>
              </w:divBdr>
            </w:div>
          </w:divsChild>
        </w:div>
        <w:div w:id="1850440890">
          <w:marLeft w:val="0"/>
          <w:marRight w:val="0"/>
          <w:marTop w:val="0"/>
          <w:marBottom w:val="0"/>
          <w:divBdr>
            <w:top w:val="none" w:sz="0" w:space="0" w:color="auto"/>
            <w:left w:val="none" w:sz="0" w:space="0" w:color="auto"/>
            <w:bottom w:val="none" w:sz="0" w:space="0" w:color="auto"/>
            <w:right w:val="none" w:sz="0" w:space="0" w:color="auto"/>
          </w:divBdr>
          <w:divsChild>
            <w:div w:id="1798373709">
              <w:marLeft w:val="0"/>
              <w:marRight w:val="0"/>
              <w:marTop w:val="0"/>
              <w:marBottom w:val="0"/>
              <w:divBdr>
                <w:top w:val="none" w:sz="0" w:space="0" w:color="auto"/>
                <w:left w:val="none" w:sz="0" w:space="0" w:color="auto"/>
                <w:bottom w:val="none" w:sz="0" w:space="0" w:color="auto"/>
                <w:right w:val="none" w:sz="0" w:space="0" w:color="auto"/>
              </w:divBdr>
              <w:divsChild>
                <w:div w:id="277493300">
                  <w:marLeft w:val="0"/>
                  <w:marRight w:val="0"/>
                  <w:marTop w:val="0"/>
                  <w:marBottom w:val="0"/>
                  <w:divBdr>
                    <w:top w:val="none" w:sz="0" w:space="0" w:color="auto"/>
                    <w:left w:val="none" w:sz="0" w:space="0" w:color="auto"/>
                    <w:bottom w:val="none" w:sz="0" w:space="0" w:color="auto"/>
                    <w:right w:val="none" w:sz="0" w:space="0" w:color="auto"/>
                  </w:divBdr>
                </w:div>
                <w:div w:id="341586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9254745">
                      <w:marLeft w:val="0"/>
                      <w:marRight w:val="0"/>
                      <w:marTop w:val="0"/>
                      <w:marBottom w:val="0"/>
                      <w:divBdr>
                        <w:top w:val="none" w:sz="0" w:space="0" w:color="auto"/>
                        <w:left w:val="none" w:sz="0" w:space="0" w:color="auto"/>
                        <w:bottom w:val="none" w:sz="0" w:space="0" w:color="auto"/>
                        <w:right w:val="none" w:sz="0" w:space="0" w:color="auto"/>
                      </w:divBdr>
                      <w:divsChild>
                        <w:div w:id="56247700">
                          <w:marLeft w:val="0"/>
                          <w:marRight w:val="0"/>
                          <w:marTop w:val="0"/>
                          <w:marBottom w:val="0"/>
                          <w:divBdr>
                            <w:top w:val="none" w:sz="0" w:space="0" w:color="auto"/>
                            <w:left w:val="none" w:sz="0" w:space="0" w:color="auto"/>
                            <w:bottom w:val="none" w:sz="0" w:space="0" w:color="auto"/>
                            <w:right w:val="none" w:sz="0" w:space="0" w:color="auto"/>
                          </w:divBdr>
                        </w:div>
                        <w:div w:id="1320840981">
                          <w:marLeft w:val="0"/>
                          <w:marRight w:val="0"/>
                          <w:marTop w:val="0"/>
                          <w:marBottom w:val="0"/>
                          <w:divBdr>
                            <w:top w:val="none" w:sz="0" w:space="0" w:color="auto"/>
                            <w:left w:val="none" w:sz="0" w:space="0" w:color="auto"/>
                            <w:bottom w:val="none" w:sz="0" w:space="0" w:color="auto"/>
                            <w:right w:val="none" w:sz="0" w:space="0" w:color="auto"/>
                          </w:divBdr>
                        </w:div>
                        <w:div w:id="711810784">
                          <w:marLeft w:val="0"/>
                          <w:marRight w:val="0"/>
                          <w:marTop w:val="0"/>
                          <w:marBottom w:val="0"/>
                          <w:divBdr>
                            <w:top w:val="none" w:sz="0" w:space="0" w:color="auto"/>
                            <w:left w:val="none" w:sz="0" w:space="0" w:color="auto"/>
                            <w:bottom w:val="none" w:sz="0" w:space="0" w:color="auto"/>
                            <w:right w:val="none" w:sz="0" w:space="0" w:color="auto"/>
                          </w:divBdr>
                        </w:div>
                        <w:div w:id="1568803169">
                          <w:marLeft w:val="0"/>
                          <w:marRight w:val="0"/>
                          <w:marTop w:val="0"/>
                          <w:marBottom w:val="0"/>
                          <w:divBdr>
                            <w:top w:val="none" w:sz="0" w:space="0" w:color="auto"/>
                            <w:left w:val="none" w:sz="0" w:space="0" w:color="auto"/>
                            <w:bottom w:val="none" w:sz="0" w:space="0" w:color="auto"/>
                            <w:right w:val="none" w:sz="0" w:space="0" w:color="auto"/>
                          </w:divBdr>
                          <w:divsChild>
                            <w:div w:id="1894341120">
                              <w:marLeft w:val="0"/>
                              <w:marRight w:val="0"/>
                              <w:marTop w:val="0"/>
                              <w:marBottom w:val="0"/>
                              <w:divBdr>
                                <w:top w:val="none" w:sz="0" w:space="0" w:color="auto"/>
                                <w:left w:val="none" w:sz="0" w:space="0" w:color="auto"/>
                                <w:bottom w:val="none" w:sz="0" w:space="0" w:color="auto"/>
                                <w:right w:val="none" w:sz="0" w:space="0" w:color="auto"/>
                              </w:divBdr>
                              <w:divsChild>
                                <w:div w:id="1699624086">
                                  <w:marLeft w:val="0"/>
                                  <w:marRight w:val="0"/>
                                  <w:marTop w:val="0"/>
                                  <w:marBottom w:val="0"/>
                                  <w:divBdr>
                                    <w:top w:val="none" w:sz="0" w:space="0" w:color="auto"/>
                                    <w:left w:val="none" w:sz="0" w:space="0" w:color="auto"/>
                                    <w:bottom w:val="none" w:sz="0" w:space="0" w:color="auto"/>
                                    <w:right w:val="none" w:sz="0" w:space="0" w:color="auto"/>
                                  </w:divBdr>
                                  <w:divsChild>
                                    <w:div w:id="1444348570">
                                      <w:marLeft w:val="0"/>
                                      <w:marRight w:val="0"/>
                                      <w:marTop w:val="0"/>
                                      <w:marBottom w:val="0"/>
                                      <w:divBdr>
                                        <w:top w:val="none" w:sz="0" w:space="0" w:color="auto"/>
                                        <w:left w:val="none" w:sz="0" w:space="0" w:color="auto"/>
                                        <w:bottom w:val="none" w:sz="0" w:space="0" w:color="auto"/>
                                        <w:right w:val="none" w:sz="0" w:space="0" w:color="auto"/>
                                      </w:divBdr>
                                      <w:divsChild>
                                        <w:div w:id="14810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2</cp:revision>
  <dcterms:created xsi:type="dcterms:W3CDTF">2021-07-13T14:22:00Z</dcterms:created>
  <dcterms:modified xsi:type="dcterms:W3CDTF">2021-07-13T14:22:00Z</dcterms:modified>
</cp:coreProperties>
</file>